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-311784</wp:posOffset>
            </wp:positionV>
            <wp:extent cx="5118100" cy="3744595"/>
            <wp:effectExtent b="0" l="0" r="0" t="0"/>
            <wp:wrapSquare wrapText="bothSides" distB="0" distT="0" distL="114300" distR="114300"/>
            <wp:docPr id="103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74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Автомобильный трекер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«Автоскан-А110М»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входит в состав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Системы мониторинга транспорта «Автоскан»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и относится к аппаратуре спутниковой навигации функционирующей с использованием навигационных сигналов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ГЛОНАСС и GPS.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Назначение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Передача на телематический сервер системы мониторинга транспорта и диспетчерский пульт набора мониторинговой информации, включающего в себя: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идентификационный номер трекера;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географические координаты (широту и долготу) местоположения ТС;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скорость и направление движения ТС;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время и дату фиксации местоположения ТС;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значение уровня топлива в баке ТС;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Функциональные возможности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Определение и передача на сервер данных о местоположении, скорости, ускорении и курса ТС;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Обработка и передача на сервер данных с аналоговых и цифровых датчиков, установленных на ТС;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Определение и передача на сервер информации о прибытии/убытии ТС с заданной территории;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Определение движения ТС по информации от встроенного акселерометра;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Обработка и передача на сервер информации о текущем уровне топлива в баке ТС;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Запись истории событий в энергонезависимую память: «черный ящик»;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Управление дополнительным оборудованием ТС (2 управляемых выхода).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Технические характеристики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46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49"/>
        <w:gridCol w:w="1613"/>
        <w:tblGridChange w:id="0">
          <w:tblGrid>
            <w:gridCol w:w="4849"/>
            <w:gridCol w:w="161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Рабочее напряжение питания, В*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10…34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Максимальный потребляемый ток не более, 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Резервное питание (встроенный АКБ)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(опционально)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Li-ion 3,7 V,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до 1020 мА/ч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Наличие защиты встроенной АКБ от перезаряда, полного разряда, короткого замыкания**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Время работы устройства от полностью заряженной встроенной АКБ (без внешнего питания) не менее, 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Время полного заряда встроенной АКБ не более, 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Общее количество входов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Общее количество дискретных входов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Количество дискретных входов, используемых для подсчёта прямоугольных импульсов (подключения проточных измерителей, определения состояния доп. оборудования ТС)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Общее количество аналоговых входов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Количество аналоговых входов, используемых для подключения ДУТ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Напряжение, измеряемое аналоговым входом, 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0…12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Датчик перемещения и наклона (3D-акселерометр)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Количество выходов типа «открытый коллектор» для управления внешними устройствами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Максимальный ток коммутации выхода, 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Максимальное напряжение коммутации выхода, 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Количество записей в энергонезависимой памяти (по типу кольцевого буфера)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Период записи данных во внутреннем запоминающем устройстве, 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Адаптивно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Каналы передачи данных по GSM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SMS, GPRS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Опциональный выбор передаваемых параметров для экономии трафика в роуминге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Возможность управления по SMS и DTMF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Проводной интерфейс для выполнения настроек, управления и передачи данных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USB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Зарядка встроенного аккумулятора по USB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Максимально количество серверов (IP-адресов), на которые одновременно передается телеметрическая информация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Возможность дистанционного обновления прошивки и смены настроек по каналу GPRS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Возможность изменения настроек по SMS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Автоматическое обновление прошивки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подключаемых цифровых датчиков уровня топлива по интерфейсу RS-485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(по K-Line)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Интерфейс 1-Wire для подключения цифровых датчиков температуры и считывания ключей TouchMemory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Максимально возможное количество подключаемых цифровых датчиков температуры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Возможность формирования событий по снижению/превышению температуры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Степень защиты корпуса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IP54 опционально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Рабочая температура со встроенной АКБ,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 … +60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Рабочая температура без встроенной АКБ,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-40… +85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Температура, при которой осуществляется заряд встроенной АКБ,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… +50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Повышенная влажность при 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С,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Габаритные размеры системного блока с разъёмами, мм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77х86х33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Масса системного блока, кг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0,200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- При превышении номиналов срабатывает схема защиты по питанию.</w:t>
        <w:br w:type="textWrapping"/>
        <w:t xml:space="preserve">** - Защита от заряда аккумулятора при его переохлаждении и перегреве.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Комплект поставки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8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06"/>
        <w:gridCol w:w="1776"/>
        <w:tblGridChange w:id="0">
          <w:tblGrid>
            <w:gridCol w:w="4806"/>
            <w:gridCol w:w="177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Системный блок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Монтажный жгут с разъемом и предохранителем 1 А 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Платформа крепления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Аккумулятор резервного питания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опционально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Руководство по эксплуатации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устройства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Назначение входов/выходов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Вход 1 -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служит для подключения сигнала или от датчика уровня топлива или для подключения дополнительного оборудования ТС:  тревожной кнопки,  счетчика пассажиров, сельскохозяйственного оборудования, сигнала «включение зажигания» и т.п.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Вход 2 -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служит только для подключения дополнительного оборудования ТС:  тревожной кнопки,  счетчика пассажиров, сельскохозяйственного оборудования, сигнала «включение зажигания» и т.п.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Прибор работает с любыми аналоговыми датчиками уровня топлива и с цифровыми ДУТ типа «Калибр».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Назначение и функциональность входов определяются настройкой, которую можно выполнить удаленно из Программы мониторинга «Автоскан».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Выход 1 и Выход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– служат для управления внешними исполнительными устройствами различного назначения: предпусковым подогревателем, громкой связью и т.п. Управлять выходами можно SMS командами с сотового телефона или из Программы мониторинга «Автоскан».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Назначение светодиодных индикаторов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Индикатор питания (красный)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-   горит постоянно при наличии напряжения питания.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Индикатор GPS сигнала (желтый) -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горит постоянно при видимости спутников.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Индикатор GSM сигнала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(зеленый)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имеет 3 режима индикации: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-  кратковременная однократная  вспышка   -  GSM сигнал отсутствует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- кратковременная серия вспышек     -  GSM сигнал есть, подключения к серверу — нет,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(кол-во вспышек показывает мощность GSM сигнала).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постоянно горит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с кратковременными гашениями  - подключение к Серверу есть,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(кол-во вспышек  показывает мощность GSM сигнала).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Внимание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! При работе прибора от источника резервного питания индикаторы GPS и GSM сигналов не горят.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Подготовка к работе и монтаж на ТС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426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Перед установкой трекера на транспортное средство необходимо вставить в него SIM-карту оператора сотовой связи. Слот держателя SIM-карты находится под крышкой с обратной стороны корпуса. </w:t>
      </w:r>
    </w:p>
    <w:p w:rsidR="00000000" w:rsidDel="00000000" w:rsidP="00000000" w:rsidRDefault="00000000" w:rsidRPr="00000000" w14:paraId="00000095">
      <w:pPr>
        <w:ind w:left="426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Помните: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Услуги GPRS/SMS/USSD/Голосовая связь должны быть подключены, а баланс лицевого счета быть больше нуля.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Интернет-трафик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составляет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около 20-30 МБ в месяц.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Важно учесть, что реальное потребление интернет-трафика сильно зависит от характера использования устройства и от качества связи. Соответственно чем хуже условия связи, тем чаще происходит переподключение устройства к серверу, и тем больше потребляется трафик.</w:t>
      </w:r>
    </w:p>
    <w:tbl>
      <w:tblPr>
        <w:tblStyle w:val="Table3"/>
        <w:tblW w:w="7943.000000000001" w:type="dxa"/>
        <w:jc w:val="center"/>
        <w:tblLayout w:type="fixed"/>
        <w:tblLook w:val="0000"/>
      </w:tblPr>
      <w:tblGrid>
        <w:gridCol w:w="126"/>
        <w:gridCol w:w="7817"/>
        <w:tblGridChange w:id="0">
          <w:tblGrid>
            <w:gridCol w:w="126"/>
            <w:gridCol w:w="78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 комплект входит одна из сим-карт: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20420" cy="614045"/>
                  <wp:effectExtent b="0" l="0" r="0" t="0"/>
                  <wp:docPr descr="Описание: https://zont-online.ru/_mod_files/ce_images/articles/bilajn.png" id="1029" name="image3.png"/>
                  <a:graphic>
                    <a:graphicData uri="http://schemas.openxmlformats.org/drawingml/2006/picture">
                      <pic:pic>
                        <pic:nvPicPr>
                          <pic:cNvPr descr="Описание: https://zont-online.ru/_mod_files/ce_images/articles/bilajn.pn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614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или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969645" cy="626745"/>
                  <wp:effectExtent b="0" l="0" r="0" t="0"/>
                  <wp:docPr descr="Описание: https://zont-online.ru/_mod_files/ce_images/articles/megafon.png" id="1028" name="image1.png"/>
                  <a:graphic>
                    <a:graphicData uri="http://schemas.openxmlformats.org/drawingml/2006/picture">
                      <pic:pic>
                        <pic:nvPicPr>
                          <pic:cNvPr descr="Описание: https://zont-online.ru/_mod_files/ce_images/articles/megafon.png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626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Билайн - тариф "Прием"                                                                                 Мегафон - тариф "Монитор"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3,3 рубля в сутки, в пакете 60 минут, 60 СМС и 1 ГБ интернета            3,3 рубля в сутки, в пакете 100 минут, 500 СМС и 512 Мб интернет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Служба технической поддержки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8 800 550 5173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Служба технической поддержки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8 800 550 5173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https://tarif-priem-gsm.ru/index.php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http://tarif-monitor-gsm.ru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Подключение питания к трекеру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осуществляется с помощью монтажного жгута из комплекта поставки. При подключении следует соблюдать правила техники безопасности, предусмотренные правилами выполнения ремонтных работ на автотранспорте. Все соединения должны обеспечивать надежный контакт и быть тщательно изолированы. В случае недостаточной длины нужного провода его можно нарастить проводом сечением не менее 0,5 мм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Вход питания терминала рассчитан на напряжение бортовой сети от 8 до 30 вольт.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1257935</wp:posOffset>
            </wp:positionH>
            <wp:positionV relativeFrom="paragraph">
              <wp:posOffset>99060</wp:posOffset>
            </wp:positionV>
            <wp:extent cx="2421890" cy="1646555"/>
            <wp:effectExtent b="0" l="0" r="0" t="0"/>
            <wp:wrapSquare wrapText="bothSides" distB="0" distT="0" distL="0" distR="0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646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Назначение контактов монтажного жгута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tbl>
      <w:tblPr>
        <w:tblStyle w:val="Table4"/>
        <w:tblW w:w="7040.999999999999" w:type="dxa"/>
        <w:jc w:val="left"/>
        <w:tblInd w:w="438.0" w:type="dxa"/>
        <w:tblLayout w:type="fixed"/>
        <w:tblLook w:val="0000"/>
      </w:tblPr>
      <w:tblGrid>
        <w:gridCol w:w="993"/>
        <w:gridCol w:w="1654"/>
        <w:gridCol w:w="4394"/>
        <w:tblGridChange w:id="0">
          <w:tblGrid>
            <w:gridCol w:w="993"/>
            <w:gridCol w:w="1654"/>
            <w:gridCol w:w="4394"/>
          </w:tblGrid>
        </w:tblGridChange>
      </w:tblGrid>
      <w:tr>
        <w:trPr>
          <w:trHeight w:val="3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контакта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цвет провода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цепи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Черный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«Масса» (минус АКБ)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Голубой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Вход 2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Оранжево-голубой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Вход 1 / Выход 3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Красный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Питание (+ 8/30 В  АКБ)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Желто-зеленый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Выход 1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Коричнево-желтый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Выход 2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Общие требования к прокладке жгута в транспортном средстве: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after="20" w:lineRule="auto"/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Радиус изгиба проводов не должен быть меньше 5 см. 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after="20" w:lineRule="auto"/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Не допускается прокладывать провода вблизи движущихся частей, источников электромагнитных помех (стартера, генератора, катушки зажигания, высоковольтных проводов). 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pacing w:after="20" w:lineRule="auto"/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При выборе мест для прокладки необходимо избегать прилегания проводов  к острым краям элементов автомобиля. 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spacing w:after="20" w:lineRule="auto"/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После монтажа убедитесь, что все соединения надежны и хорошо заизолированы. 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При необходимости наращивать длину проводов используйте провод сечением не менее 0,5 мм. Соединение проводов осуществляйте методом скрутки/пайки или с использованием клеммников. </w:t>
      </w:r>
    </w:p>
    <w:p w:rsidR="00000000" w:rsidDel="00000000" w:rsidP="00000000" w:rsidRDefault="00000000" w:rsidRPr="00000000" w14:paraId="000000D2">
      <w:pPr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426" w:firstLine="0"/>
        <w:jc w:val="both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  <w:rtl w:val="0"/>
        </w:rPr>
        <w:t xml:space="preserve">Установка в транспортном средстве: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0"/>
        </w:numPr>
        <w:ind w:left="993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Место установки трекера должно быть выбрано, исходя из его габаритных (77х86х33 мм) и установочных размеров, а также с учетом обеспечения требуемого пространства для удобного подключения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разъема.</w:t>
      </w:r>
    </w:p>
    <w:p w:rsidR="00000000" w:rsidDel="00000000" w:rsidP="00000000" w:rsidRDefault="00000000" w:rsidRPr="00000000" w14:paraId="000000D5">
      <w:pPr>
        <w:numPr>
          <w:ilvl w:val="0"/>
          <w:numId w:val="10"/>
        </w:numPr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Место установки должно обеспечивать надежное  крепление трекера к корпусу транспортного средства. </w:t>
      </w:r>
    </w:p>
    <w:p w:rsidR="00000000" w:rsidDel="00000000" w:rsidP="00000000" w:rsidRDefault="00000000" w:rsidRPr="00000000" w14:paraId="000000D6">
      <w:pPr>
        <w:numPr>
          <w:ilvl w:val="0"/>
          <w:numId w:val="10"/>
        </w:numPr>
        <w:spacing w:after="20" w:lineRule="auto"/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Запрещено устанавливать трекер в местах, где его корпус или разъемы могут соприкасаться с движущимися частями или неизолированными электрическими контактами. </w:t>
      </w:r>
    </w:p>
    <w:p w:rsidR="00000000" w:rsidDel="00000000" w:rsidP="00000000" w:rsidRDefault="00000000" w:rsidRPr="00000000" w14:paraId="000000D7">
      <w:pPr>
        <w:numPr>
          <w:ilvl w:val="0"/>
          <w:numId w:val="10"/>
        </w:numPr>
        <w:spacing w:after="20" w:lineRule="auto"/>
        <w:ind w:left="993" w:hanging="36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При выборе места для установки трекера необходимо учитывать допустимые условия его эксплуатации (температурный диапазон -40 - +85С, степень защиты от проникновения посторонних тел и воды - IP52). Запрещено устанавливать трекер в моторном отсеке и др. местах, где возможны брызги или струи воды. </w:t>
      </w:r>
    </w:p>
    <w:p w:rsidR="00000000" w:rsidDel="00000000" w:rsidP="00000000" w:rsidRDefault="00000000" w:rsidRPr="00000000" w14:paraId="000000D8">
      <w:pPr>
        <w:numPr>
          <w:ilvl w:val="0"/>
          <w:numId w:val="10"/>
        </w:numPr>
        <w:spacing w:after="37" w:lineRule="auto"/>
        <w:ind w:left="993" w:hanging="36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  <w:rtl w:val="0"/>
        </w:rPr>
        <w:t xml:space="preserve">Трекер должен располагаться горизонтально, в месте, обеспечивающем хороший приём навигационных сигналов.</w:t>
      </w:r>
    </w:p>
    <w:p w:rsidR="00000000" w:rsidDel="00000000" w:rsidP="00000000" w:rsidRDefault="00000000" w:rsidRPr="00000000" w14:paraId="000000D9">
      <w:pPr>
        <w:spacing w:after="37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Настройка трекера с помощью SMS-команд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Убедитесь,  что трекер находится на связи, позвонив на номер установленной в него SIM карты. В нормальном состоянии трекер должен сбросить вызов сразу или после нескольких  длинных гудков.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Для настройки следует послать SMS-команду, содержащую пароль доступа к Серверу и команду установки. По умолчанию пароль доступа = 123456789.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Список SMS-команд (регистр имеет значение):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511.0" w:type="dxa"/>
        <w:jc w:val="left"/>
        <w:tblInd w:w="534.0" w:type="dxa"/>
        <w:tblLayout w:type="fixed"/>
        <w:tblLook w:val="0000"/>
      </w:tblPr>
      <w:tblGrid>
        <w:gridCol w:w="1134"/>
        <w:gridCol w:w="6377"/>
        <w:tblGridChange w:id="0">
          <w:tblGrid>
            <w:gridCol w:w="1134"/>
            <w:gridCol w:w="63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LOGPAS=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Установка логина и пароля. Логин и пароль через пробел (см. пример)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LOGPAS?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Проверка логина и пароля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GADR=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Установка адреса (номера) трекера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Всегда начинаются с 5-го номера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GADR?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Проверка адреса трекера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APN=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Установка точки доступа. Если требуется имя пользователя и пароль, то они пишутся без пробелов через запятую. (По умолчанию APN=internet)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Проверка точки доступа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gsm?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Получение мощности GSM-сигнала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dataclr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Очистка памяти данных трекера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IPA=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Установка IP-адреса сервера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IPA?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Проверка IP-адреса сервера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IPP=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Установка IP-порта сервера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IPP?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Проверка IP-порта сервера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ReConnecT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Принудительное переподключение трекера  после команд LOGPAS= IPA= IPP=</w:t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Например: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Смена логина и пароля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123456789 LOGPAS=login password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(теперь: Логин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login,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Пароль – password)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Смена номера трекера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password GADR=50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(теперь текущий номер трекера – 50)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 успешном подключении трекера к Серверу свидетельствует постоянное свечение с кратковременными гашениями индикатора GSM сети на корпусе прибора.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Настройка трекера с ПК через USB-порт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Скопируйте и сохраните на  ПК необходимый для настройки трекера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Драйвер USB порта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(файл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usb_driver.rar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раздел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Скачать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» сайта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www.auto-scan.ru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). Разархивируйте его и установите.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Подключите трекер к ПК через USB разъём.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Внимание:  SIM-карта на момент подключения к ПК должна быть удалена из трекера.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Запустите в Программе Мониторинга программатор и выполните настройку (пропишите логин, пароль, номер трекера и точку доступа).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 окончании процедуры настройки отключите трекер от USB порта компьютера.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Ресурс и гарантийный срок эксплуатации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Гарантийный срок составляет 12 месяцев с даты изготовления.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Срок службы (эксплуатации) составляет 5 лет. 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Прибор должен использоваться только в соответствии с руководством по эксплуатации.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Вышедшие из строя в течение гарантийного срока эксплуатации по вине завода-изготовителя составные части подлежат замене или ремонту силами предприятия-изготовителя или организации, осуществляющей комплексное обслуживание.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Ремонт и обслуживание прибора с истекшим гарантийным сроком осуществляется за счет средств потребителя по отдельным договорам между поставщиком/установщиком и потребителем.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Потребитель лишается права на гарантийное обслуживание в следующих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 истечении гарантийного срока эксплуатации;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нарушении правил монтажа, эксплуатации, транспортирования и хранения;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механических, тепловых и иных повреждений, возникших в результате неправильной эксплуатации, небрежного отношения или несчастного случая;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неправильной установки, регулировки и эксплуатации прибора;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попадания внутрь посторонних предметов, жидкости, веществ, насекомых;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случае действия третьих лиц или непреодолимой силы (аварии, пожара, затопления, стихийных бедствий);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случае ремонта, внесения конструктивных изменений как самостоятельно, так и не уполномоченными на это лицами.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Условия эффективного и безопасного использования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Производитель гарантирует соответствие  прибора  требованиям ТУ 6811-005-25645152-2016 при точном соблюдении требований производителя, указанных в Руководстве по установке и эксплуатации.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Условия хранения и транспортирования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Прибор допускается перевозить в транспортной таре всеми видами воздушного, наземного и водного транспорта в соответствии с действующими правилами перевозки грузов.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Условия транспортирования - группа II по ГОСТ 15150 – 69 с ограничением воздействия пониженной температуры до - 40 ° С.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Условия хранения на складах поставщика и потребителя - группа II по ГОСТ 15150 – 69 с ограничением воздействия пониженной температуры до - 40 ° С.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Производитель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ООО «Микро Лайн» Россия, 607630, Нижегородская обл., Нижний Новгород, с.п.Кудьма, ул. Заводская, тер. 2, помещение 1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Тел/факс: (831) 220-76-76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support@microline.ru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Служба технической поддержки 8-800-700-72-91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Производитель оставляет за собой право без уведомления потребителя вносить изменения в программное обеспечение,  конструкцию и комплектацию изделий  с целью  улучшения их технических и эксплуатационных параметров.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Гарантийная мастерская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ООО «Микро Лайн» Россия, 607630, Нижегородская обл., Нижний Новгород, с.п.Кудьма, ул. Заводская, тер. 2, помещение 1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Тел/факс: (831) 220-76-76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support@microline.ru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Служба технической поддержки 8-800-700-72-91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Отметка ОТК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Cерийный номер и дата изготовления:    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Прибор изготовлен  в соответствии с ТУ 6811-005-25645152-2016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Декларация соответствия  ТС № RU. Д-RU.АД35.B.06706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Соответствует требованиям технического регламента Таможенного союза "Электромагнитная совместимость технических средств" (ТР ТС 020/2011)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Прибор проверен на функционирование и признан годным к эксплуатации.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</w:t>
        <w:tab/>
        <w:t xml:space="preserve">                  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Идентификационные данные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513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3861"/>
        <w:tblGridChange w:id="0">
          <w:tblGrid>
            <w:gridCol w:w="3652"/>
            <w:gridCol w:w="3861"/>
          </w:tblGrid>
        </w:tblGridChange>
      </w:tblGrid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Заполняет абонент (интегратор) при монтаже прибора на транспортное средство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Марка, модель ТС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Гос. регистрационный знак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Логин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Пароль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Порядковый номер в системе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1"/>
        </w:tabs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1"/>
        </w:tabs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21"/>
        </w:tabs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111693" cy="1071328"/>
            <wp:effectExtent b="0" l="0" r="0" t="0"/>
            <wp:docPr id="103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1693" cy="1071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even"/>
      <w:pgSz w:h="5953" w:w="8391"/>
      <w:pgMar w:bottom="284" w:top="528" w:left="284" w:right="284" w:header="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Helio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Автоскан-А110М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Автоскан-А110М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ios" w:cs="Helios" w:eastAsia="Helios" w:hAnsi="Helios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numPr>
        <w:ilvl w:val="5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numPr>
        <w:ilvl w:val="6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омерстраницы">
    <w:name w:val="Номер страницы"/>
    <w:basedOn w:val="Основнойшрифтабзаца1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омерстроки">
    <w:name w:val="Номер строки"/>
    <w:basedOn w:val="Основнойшрифтабзаца1"/>
    <w:next w:val="Номерстро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накпримечания1">
    <w:name w:val="Знак примечания1"/>
    <w:next w:val="Знакпримечания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just1">
    <w:name w:val="pjust1"/>
    <w:basedOn w:val="Основнойшрифтабзаца1"/>
    <w:next w:val="pju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lue">
    <w:name w:val="blue"/>
    <w:basedOn w:val="Основнойшрифтабзаца1"/>
    <w:next w:val="b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next w:val="A0"/>
    <w:autoRedefine w:val="0"/>
    <w:hidden w:val="0"/>
    <w:qFormat w:val="0"/>
    <w:rPr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rFonts w:ascii="Arial" w:cs="Arial" w:hAnsi="Arial"/>
      <w:b w:val="1"/>
      <w:bCs w:val="1"/>
      <w:color w:val="00008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Слабаяссылка">
    <w:name w:val="Слабая ссылка"/>
    <w:next w:val="Слабаяссылка"/>
    <w:autoRedefine w:val="0"/>
    <w:hidden w:val="0"/>
    <w:qFormat w:val="0"/>
    <w:rPr>
      <w:smallCaps w:val="1"/>
      <w:color w:val="c0504d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Сильнаяссылка">
    <w:name w:val="Сильная ссылка"/>
    <w:next w:val="Сильнаяссылка"/>
    <w:autoRedefine w:val="0"/>
    <w:hidden w:val="0"/>
    <w:qFormat w:val="0"/>
    <w:rPr>
      <w:b w:val="1"/>
      <w:bCs w:val="1"/>
      <w:smallCaps w:val="1"/>
      <w:color w:val="c0504d"/>
      <w:spacing w:val="5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льноевыделение">
    <w:name w:val="Сильное выделение"/>
    <w:next w:val="Сильноевыделение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008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autoSpaceDE w:val="0"/>
      <w:spacing w:line="1" w:lineRule="atLeast"/>
      <w:ind w:left="709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position w:val="-1"/>
      <w:sz w:val="18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21">
    <w:name w:val="Основной текст с отступом 21"/>
    <w:basedOn w:val="Обычный"/>
    <w:next w:val="Основнойтекстсотступом21"/>
    <w:autoRedefine w:val="0"/>
    <w:hidden w:val="0"/>
    <w:qFormat w:val="0"/>
    <w:pPr>
      <w:suppressAutoHyphens w:val="0"/>
      <w:autoSpaceDE w:val="0"/>
      <w:spacing w:line="1" w:lineRule="atLeast"/>
      <w:ind w:left="0" w:right="0" w:leftChars="-1" w:rightChars="0" w:firstLine="426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31">
    <w:name w:val="Основной текст с отступом 31"/>
    <w:basedOn w:val="Обычный"/>
    <w:next w:val="Основнойтекстсотступом31"/>
    <w:autoRedefine w:val="0"/>
    <w:hidden w:val="0"/>
    <w:qFormat w:val="0"/>
    <w:pPr>
      <w:suppressAutoHyphens w:val="0"/>
      <w:autoSpaceDE w:val="0"/>
      <w:spacing w:line="1" w:lineRule="atLeast"/>
      <w:ind w:left="0" w:right="0" w:leftChars="-1" w:rightChars="0" w:firstLine="426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Рисунки">
    <w:name w:val="Рисунки"/>
    <w:next w:val="Обычный"/>
    <w:autoRedefine w:val="0"/>
    <w:hidden w:val="0"/>
    <w:qFormat w:val="0"/>
    <w:pPr>
      <w:pBdr>
        <w:top w:color="000000" w:space="1" w:sz="4" w:val="dotted"/>
        <w:left w:color="000000" w:space="4" w:sz="4" w:val="dotted"/>
        <w:bottom w:color="000000" w:space="1" w:sz="4" w:val="dotted"/>
        <w:right w:color="000000" w:space="4" w:sz="4" w:val="dotted"/>
      </w:pBdr>
      <w:suppressAutoHyphens w:val="0"/>
      <w:autoSpaceDE w:val="0"/>
      <w:spacing w:line="1" w:lineRule="atLeast"/>
      <w:ind w:leftChars="-1" w:rightChars="0" w:firstLine="397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Текстпримечания1">
    <w:name w:val="Текст примечания1"/>
    <w:basedOn w:val="Обычный"/>
    <w:next w:val="Текстпримечания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мапримечания">
    <w:name w:val="Тема примечания"/>
    <w:basedOn w:val="Текстпримечания1"/>
    <w:next w:val="Текстпримечания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Обычный"/>
    <w:next w:val="Схемадокумента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ios" w:cs="Helios" w:hAnsi="Helio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Pa0">
    <w:name w:val="Pa0"/>
    <w:basedOn w:val="Normal"/>
    <w:next w:val="Normal"/>
    <w:autoRedefine w:val="0"/>
    <w:hidden w:val="0"/>
    <w:qFormat w:val="0"/>
    <w:pPr>
      <w:suppressAutoHyphens w:val="0"/>
      <w:autoSpaceDE w:val="0"/>
      <w:spacing w:line="241" w:lineRule="atLeast"/>
      <w:ind w:leftChars="-1" w:rightChars="0" w:firstLineChars="-1"/>
      <w:textDirection w:val="btLr"/>
      <w:textAlignment w:val="top"/>
      <w:outlineLvl w:val="0"/>
    </w:pPr>
    <w:rPr>
      <w:rFonts w:ascii="Helios" w:cs="Times New Roman" w:hAnsi="Helio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arif-monitor-gsm.ru/" TargetMode="External"/><Relationship Id="rId10" Type="http://schemas.openxmlformats.org/officeDocument/2006/relationships/hyperlink" Target="https://tarif-priem-gsm.ru/index.php" TargetMode="External"/><Relationship Id="rId13" Type="http://schemas.openxmlformats.org/officeDocument/2006/relationships/hyperlink" Target="http://www.auto-scan.ru" TargetMode="External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image" Target="media/image5.jpg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NWhenvVE/+0adMNJZcY3glCfA==">AMUW2mV6VlQzlejhofABb4hlvrErpKW5aEJm+X+VOKzNgRut1FfanwvFStkUO3cIZy8GhegbE31pOxsjzIrSNIn293D1Z3wCdkaMEAz80BkDlUmRzdTUrmw=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2018-03-29T12:16:00Z</dcterms:created>
  <dc:creator>Andrey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